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0FB87" w14:textId="77777777" w:rsidR="003D01B0" w:rsidRDefault="003D01B0">
      <w:pPr>
        <w:pStyle w:val="BodyText"/>
        <w:rPr>
          <w:sz w:val="20"/>
        </w:rPr>
      </w:pPr>
    </w:p>
    <w:p w14:paraId="416E3BCA" w14:textId="77777777" w:rsidR="003D01B0" w:rsidRDefault="003D01B0">
      <w:pPr>
        <w:pStyle w:val="BodyText"/>
        <w:rPr>
          <w:sz w:val="20"/>
        </w:rPr>
      </w:pPr>
    </w:p>
    <w:p w14:paraId="3CF894BE" w14:textId="77777777" w:rsidR="003D01B0" w:rsidRDefault="003D01B0">
      <w:pPr>
        <w:pStyle w:val="BodyText"/>
        <w:rPr>
          <w:sz w:val="20"/>
        </w:rPr>
      </w:pPr>
    </w:p>
    <w:p w14:paraId="276F0721" w14:textId="77777777" w:rsidR="003D01B0" w:rsidRDefault="003D01B0">
      <w:pPr>
        <w:pStyle w:val="BodyText"/>
        <w:rPr>
          <w:sz w:val="20"/>
        </w:rPr>
      </w:pPr>
    </w:p>
    <w:p w14:paraId="6971491D" w14:textId="77777777" w:rsidR="003D01B0" w:rsidRDefault="003D01B0">
      <w:pPr>
        <w:pStyle w:val="BodyText"/>
        <w:rPr>
          <w:sz w:val="20"/>
        </w:rPr>
      </w:pPr>
    </w:p>
    <w:p w14:paraId="3A0ECC5B" w14:textId="77777777" w:rsidR="003D01B0" w:rsidRDefault="003D01B0">
      <w:pPr>
        <w:pStyle w:val="BodyText"/>
        <w:rPr>
          <w:sz w:val="20"/>
        </w:rPr>
      </w:pPr>
    </w:p>
    <w:p w14:paraId="64C28B55" w14:textId="77777777" w:rsidR="003D01B0" w:rsidRDefault="003D01B0">
      <w:pPr>
        <w:pStyle w:val="BodyText"/>
        <w:rPr>
          <w:sz w:val="20"/>
        </w:rPr>
      </w:pPr>
    </w:p>
    <w:p w14:paraId="166838A3" w14:textId="77777777" w:rsidR="003D01B0" w:rsidRDefault="003D01B0">
      <w:pPr>
        <w:pStyle w:val="BodyText"/>
        <w:rPr>
          <w:sz w:val="20"/>
        </w:rPr>
      </w:pPr>
    </w:p>
    <w:p w14:paraId="37518940" w14:textId="77777777" w:rsidR="003D01B0" w:rsidRDefault="003D01B0">
      <w:pPr>
        <w:pStyle w:val="BodyText"/>
        <w:rPr>
          <w:sz w:val="20"/>
        </w:rPr>
      </w:pPr>
    </w:p>
    <w:p w14:paraId="4E0B3364" w14:textId="77777777" w:rsidR="003D01B0" w:rsidRDefault="003D01B0">
      <w:pPr>
        <w:pStyle w:val="BodyText"/>
        <w:rPr>
          <w:sz w:val="20"/>
        </w:rPr>
      </w:pPr>
    </w:p>
    <w:p w14:paraId="1EBF66AF" w14:textId="77777777" w:rsidR="003D01B0" w:rsidRDefault="003D01B0">
      <w:pPr>
        <w:pStyle w:val="BodyText"/>
        <w:rPr>
          <w:sz w:val="20"/>
        </w:rPr>
      </w:pPr>
    </w:p>
    <w:p w14:paraId="2FD31BDF" w14:textId="77777777" w:rsidR="003D01B0" w:rsidRDefault="003D01B0">
      <w:pPr>
        <w:pStyle w:val="BodyText"/>
        <w:rPr>
          <w:sz w:val="20"/>
        </w:rPr>
      </w:pPr>
    </w:p>
    <w:p w14:paraId="50E0FAC0" w14:textId="77777777" w:rsidR="003D01B0" w:rsidRDefault="003D01B0">
      <w:pPr>
        <w:pStyle w:val="BodyText"/>
        <w:rPr>
          <w:sz w:val="20"/>
        </w:rPr>
      </w:pPr>
    </w:p>
    <w:p w14:paraId="62006F31" w14:textId="77777777" w:rsidR="003D01B0" w:rsidRDefault="003D01B0">
      <w:pPr>
        <w:pStyle w:val="BodyText"/>
        <w:spacing w:before="1"/>
        <w:rPr>
          <w:sz w:val="29"/>
        </w:rPr>
      </w:pPr>
    </w:p>
    <w:p w14:paraId="45B683AA" w14:textId="77777777" w:rsidR="003D01B0" w:rsidRDefault="00741C20">
      <w:pPr>
        <w:spacing w:before="57"/>
        <w:ind w:left="991"/>
        <w:rPr>
          <w:rFonts w:ascii="Calibri"/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007788D" wp14:editId="49A8954F">
            <wp:simplePos x="0" y="0"/>
            <wp:positionH relativeFrom="page">
              <wp:posOffset>0</wp:posOffset>
            </wp:positionH>
            <wp:positionV relativeFrom="paragraph">
              <wp:posOffset>-2107391</wp:posOffset>
            </wp:positionV>
            <wp:extent cx="7560563" cy="193398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3" cy="1933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color w:val="808080"/>
        </w:rPr>
        <w:t>ATTENTION:</w:t>
      </w:r>
      <w:r>
        <w:rPr>
          <w:rFonts w:ascii="Calibri"/>
          <w:b/>
          <w:color w:val="808080"/>
          <w:spacing w:val="-5"/>
        </w:rPr>
        <w:t xml:space="preserve"> </w:t>
      </w:r>
      <w:r>
        <w:rPr>
          <w:rFonts w:ascii="Calibri"/>
          <w:b/>
          <w:color w:val="808080"/>
        </w:rPr>
        <w:t>TO</w:t>
      </w:r>
      <w:r>
        <w:rPr>
          <w:rFonts w:ascii="Calibri"/>
          <w:b/>
          <w:color w:val="808080"/>
          <w:spacing w:val="-4"/>
        </w:rPr>
        <w:t xml:space="preserve"> </w:t>
      </w:r>
      <w:r>
        <w:rPr>
          <w:rFonts w:ascii="Calibri"/>
          <w:b/>
          <w:color w:val="808080"/>
        </w:rPr>
        <w:t>ALL</w:t>
      </w:r>
      <w:r>
        <w:rPr>
          <w:rFonts w:ascii="Calibri"/>
          <w:b/>
          <w:color w:val="808080"/>
          <w:spacing w:val="-3"/>
        </w:rPr>
        <w:t xml:space="preserve"> </w:t>
      </w:r>
      <w:r>
        <w:rPr>
          <w:rFonts w:ascii="Calibri"/>
          <w:b/>
          <w:color w:val="808080"/>
        </w:rPr>
        <w:t>TENDERERS</w:t>
      </w:r>
    </w:p>
    <w:p w14:paraId="05E5FAEF" w14:textId="77777777" w:rsidR="003D01B0" w:rsidRDefault="003D01B0">
      <w:pPr>
        <w:pStyle w:val="BodyText"/>
        <w:rPr>
          <w:rFonts w:ascii="Calibri"/>
          <w:b/>
        </w:rPr>
      </w:pPr>
    </w:p>
    <w:p w14:paraId="6A09A4CA" w14:textId="1A4F2F3A" w:rsidR="003D01B0" w:rsidRPr="00741C20" w:rsidRDefault="00741C20" w:rsidP="00741C20">
      <w:pPr>
        <w:ind w:left="3134" w:right="1043" w:hanging="2079"/>
        <w:rPr>
          <w:b/>
          <w:u w:val="thick"/>
        </w:rPr>
      </w:pPr>
      <w:r w:rsidRPr="00741C20">
        <w:rPr>
          <w:b/>
          <w:u w:val="thick"/>
        </w:rPr>
        <w:t>PROVISION FOR MAINTENANCE SERVICE OF</w:t>
      </w:r>
      <w:r>
        <w:rPr>
          <w:b/>
          <w:u w:val="thick"/>
        </w:rPr>
        <w:t xml:space="preserve"> </w:t>
      </w:r>
      <w:r w:rsidRPr="00741C20">
        <w:rPr>
          <w:b/>
          <w:u w:val="thick"/>
        </w:rPr>
        <w:t>THE ELECTRIC FENCING</w:t>
      </w:r>
      <w:r w:rsidRPr="00741C20">
        <w:rPr>
          <w:b/>
          <w:u w:val="thick"/>
        </w:rPr>
        <w:t xml:space="preserve"> </w:t>
      </w:r>
      <w:r>
        <w:rPr>
          <w:b/>
          <w:u w:val="thick"/>
        </w:rPr>
        <w:t>-</w:t>
      </w:r>
      <w:r>
        <w:rPr>
          <w:b/>
          <w:spacing w:val="1"/>
          <w:u w:val="thick"/>
        </w:rPr>
        <w:t xml:space="preserve"> </w:t>
      </w:r>
      <w:r w:rsidRPr="00741C20">
        <w:rPr>
          <w:b/>
          <w:u w:val="thick"/>
        </w:rPr>
        <w:t>ES/22/ELEC/EF/01</w:t>
      </w:r>
    </w:p>
    <w:p w14:paraId="0F03CB0D" w14:textId="77777777" w:rsidR="003D01B0" w:rsidRDefault="003D01B0">
      <w:pPr>
        <w:pStyle w:val="BodyText"/>
        <w:rPr>
          <w:b/>
          <w:sz w:val="20"/>
        </w:rPr>
      </w:pPr>
    </w:p>
    <w:p w14:paraId="020AE432" w14:textId="77777777" w:rsidR="003D01B0" w:rsidRDefault="003D01B0">
      <w:pPr>
        <w:pStyle w:val="BodyText"/>
        <w:rPr>
          <w:b/>
          <w:sz w:val="20"/>
        </w:rPr>
      </w:pPr>
    </w:p>
    <w:p w14:paraId="76E11692" w14:textId="77777777" w:rsidR="003D01B0" w:rsidRDefault="00741C20">
      <w:pPr>
        <w:pStyle w:val="Heading1"/>
        <w:spacing w:before="91"/>
        <w:ind w:left="3350" w:right="3352"/>
        <w:jc w:val="center"/>
        <w:rPr>
          <w:u w:val="none"/>
        </w:rPr>
      </w:pPr>
      <w:r>
        <w:rPr>
          <w:u w:val="thick"/>
        </w:rPr>
        <w:t>ISSUING</w:t>
      </w:r>
      <w:r>
        <w:rPr>
          <w:spacing w:val="-4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ELECTRONIC</w:t>
      </w:r>
      <w:r>
        <w:rPr>
          <w:spacing w:val="-1"/>
          <w:u w:val="thick"/>
        </w:rPr>
        <w:t xml:space="preserve"> </w:t>
      </w:r>
      <w:r>
        <w:rPr>
          <w:u w:val="thick"/>
        </w:rPr>
        <w:t>BILL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QUANTITIES</w:t>
      </w:r>
    </w:p>
    <w:p w14:paraId="342BD907" w14:textId="77777777" w:rsidR="003D01B0" w:rsidRDefault="003D01B0">
      <w:pPr>
        <w:pStyle w:val="BodyText"/>
        <w:spacing w:before="7"/>
        <w:rPr>
          <w:b/>
          <w:sz w:val="15"/>
        </w:rPr>
      </w:pPr>
    </w:p>
    <w:p w14:paraId="1131A103" w14:textId="77777777" w:rsidR="003D01B0" w:rsidRDefault="00741C20">
      <w:pPr>
        <w:pStyle w:val="BodyText"/>
        <w:spacing w:before="91"/>
        <w:ind w:left="991"/>
      </w:pPr>
      <w:r>
        <w:t>We</w:t>
      </w:r>
      <w:r>
        <w:rPr>
          <w:spacing w:val="-1"/>
        </w:rPr>
        <w:t xml:space="preserve"> </w:t>
      </w:r>
      <w:r>
        <w:t>enclose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‘Electronic</w:t>
      </w:r>
      <w:r>
        <w:rPr>
          <w:spacing w:val="-4"/>
        </w:rPr>
        <w:t xml:space="preserve"> </w:t>
      </w:r>
      <w:r>
        <w:t>Bill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Quantities’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above-mentioned</w:t>
      </w:r>
      <w:r>
        <w:rPr>
          <w:spacing w:val="-3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detailed</w:t>
      </w:r>
      <w:r>
        <w:rPr>
          <w:spacing w:val="-2"/>
        </w:rPr>
        <w:t xml:space="preserve"> </w:t>
      </w:r>
      <w:proofErr w:type="gramStart"/>
      <w:r>
        <w:t>below;</w:t>
      </w:r>
      <w:proofErr w:type="gramEnd"/>
    </w:p>
    <w:p w14:paraId="37FA9DCC" w14:textId="77777777" w:rsidR="003D01B0" w:rsidRDefault="003D01B0">
      <w:pPr>
        <w:pStyle w:val="BodyText"/>
      </w:pPr>
    </w:p>
    <w:p w14:paraId="24846D4F" w14:textId="77777777" w:rsidR="003D01B0" w:rsidRDefault="00741C20">
      <w:pPr>
        <w:pStyle w:val="ListParagraph"/>
        <w:numPr>
          <w:ilvl w:val="0"/>
          <w:numId w:val="1"/>
        </w:numPr>
        <w:tabs>
          <w:tab w:val="left" w:pos="1712"/>
        </w:tabs>
        <w:spacing w:before="1"/>
        <w:ind w:hanging="361"/>
      </w:pPr>
      <w:r>
        <w:t>The</w:t>
      </w:r>
      <w:r>
        <w:rPr>
          <w:spacing w:val="-2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information/tender</w:t>
      </w:r>
      <w:r>
        <w:rPr>
          <w:spacing w:val="-1"/>
        </w:rPr>
        <w:t xml:space="preserve"> </w:t>
      </w:r>
      <w:r>
        <w:t>preparation</w:t>
      </w:r>
      <w:r>
        <w:rPr>
          <w:spacing w:val="-2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t>only</w:t>
      </w:r>
    </w:p>
    <w:p w14:paraId="07622D25" w14:textId="77777777" w:rsidR="003D01B0" w:rsidRDefault="003D01B0">
      <w:pPr>
        <w:pStyle w:val="BodyText"/>
        <w:spacing w:before="9"/>
        <w:rPr>
          <w:sz w:val="21"/>
        </w:rPr>
      </w:pPr>
    </w:p>
    <w:p w14:paraId="5C6A95D1" w14:textId="77777777" w:rsidR="003D01B0" w:rsidRDefault="00741C20">
      <w:pPr>
        <w:pStyle w:val="ListParagraph"/>
        <w:numPr>
          <w:ilvl w:val="0"/>
          <w:numId w:val="1"/>
        </w:numPr>
        <w:tabs>
          <w:tab w:val="left" w:pos="1712"/>
        </w:tabs>
        <w:ind w:right="988"/>
        <w:jc w:val="both"/>
      </w:pPr>
      <w:r>
        <w:t>Tenderers are required to complete the applicable pages and bound into the original</w:t>
      </w:r>
      <w:r>
        <w:t>, un-altered, tender</w:t>
      </w:r>
      <w:r>
        <w:rPr>
          <w:spacing w:val="1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– when</w:t>
      </w:r>
      <w:r>
        <w:rPr>
          <w:spacing w:val="-2"/>
        </w:rPr>
        <w:t xml:space="preserve"> </w:t>
      </w:r>
      <w:r>
        <w:t>ultimately submitting a</w:t>
      </w:r>
      <w:r>
        <w:rPr>
          <w:spacing w:val="-2"/>
        </w:rPr>
        <w:t xml:space="preserve"> </w:t>
      </w:r>
      <w:r>
        <w:t>tender.</w:t>
      </w:r>
    </w:p>
    <w:p w14:paraId="000267AB" w14:textId="77777777" w:rsidR="003D01B0" w:rsidRDefault="003D01B0">
      <w:pPr>
        <w:pStyle w:val="BodyText"/>
        <w:spacing w:before="2"/>
      </w:pPr>
    </w:p>
    <w:p w14:paraId="774FBE72" w14:textId="4E02A301" w:rsidR="003D01B0" w:rsidRDefault="00741C20">
      <w:pPr>
        <w:pStyle w:val="ListParagraph"/>
        <w:numPr>
          <w:ilvl w:val="0"/>
          <w:numId w:val="1"/>
        </w:numPr>
        <w:tabs>
          <w:tab w:val="left" w:pos="1712"/>
        </w:tabs>
        <w:ind w:right="990"/>
        <w:jc w:val="both"/>
      </w:pPr>
      <w:r>
        <w:t>Should the ELIDZ discover, subsequent to the award of the tender, that the successful tenderer has</w:t>
      </w:r>
      <w:r>
        <w:rPr>
          <w:spacing w:val="1"/>
        </w:rPr>
        <w:t xml:space="preserve"> </w:t>
      </w:r>
      <w:r>
        <w:t>amended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wording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original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document,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shall render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awarded</w:t>
      </w:r>
      <w:r>
        <w:rPr>
          <w:spacing w:val="1"/>
        </w:rPr>
        <w:t xml:space="preserve"> </w:t>
      </w:r>
      <w:r>
        <w:t>tender/contract liable to immediate cancellation by the ELIDZ with subsequent recovery from the</w:t>
      </w:r>
      <w:r>
        <w:rPr>
          <w:spacing w:val="1"/>
        </w:rPr>
        <w:t xml:space="preserve"> </w:t>
      </w:r>
      <w:r>
        <w:t>successful tenderer of all costs incurred by the ELIDZ in both the original tender process and any</w:t>
      </w:r>
      <w:r>
        <w:rPr>
          <w:spacing w:val="1"/>
        </w:rPr>
        <w:t xml:space="preserve"> </w:t>
      </w:r>
      <w:r>
        <w:t>subsequent</w:t>
      </w:r>
      <w:r>
        <w:rPr>
          <w:spacing w:val="-4"/>
        </w:rPr>
        <w:t xml:space="preserve"> </w:t>
      </w:r>
      <w:r>
        <w:t>retender</w:t>
      </w:r>
      <w:r>
        <w:rPr>
          <w:spacing w:val="-2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necessary,</w:t>
      </w:r>
      <w:r>
        <w:rPr>
          <w:spacing w:val="-2"/>
        </w:rPr>
        <w:t xml:space="preserve"> </w:t>
      </w:r>
      <w:r>
        <w:t>together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monthly</w:t>
      </w:r>
      <w:r>
        <w:rPr>
          <w:spacing w:val="-2"/>
        </w:rPr>
        <w:t xml:space="preserve"> </w:t>
      </w:r>
      <w:r>
        <w:t>payments</w:t>
      </w:r>
      <w:r>
        <w:rPr>
          <w:spacing w:val="-3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may</w:t>
      </w:r>
      <w:r>
        <w:rPr>
          <w:spacing w:val="-53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paid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t>contractor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result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tender.</w:t>
      </w:r>
      <w:r>
        <w:rPr>
          <w:spacing w:val="-9"/>
        </w:rPr>
        <w:t xml:space="preserve"> </w:t>
      </w:r>
      <w:r>
        <w:t>Additionally,</w:t>
      </w:r>
      <w:r>
        <w:rPr>
          <w:spacing w:val="-9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any</w:t>
      </w:r>
      <w:r>
        <w:rPr>
          <w:spacing w:val="-52"/>
        </w:rPr>
        <w:t xml:space="preserve"> </w:t>
      </w:r>
      <w:r>
        <w:t>subsequent retender process by the ELIDZ result in a less financially favorable</w:t>
      </w:r>
      <w:r>
        <w:t xml:space="preserve"> tender being accepted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ELIDZ,</w:t>
      </w:r>
      <w:r>
        <w:rPr>
          <w:spacing w:val="-2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original (now</w:t>
      </w:r>
      <w:r>
        <w:rPr>
          <w:spacing w:val="-2"/>
        </w:rPr>
        <w:t xml:space="preserve"> </w:t>
      </w:r>
      <w:r>
        <w:t>cancelled)</w:t>
      </w:r>
      <w:r>
        <w:rPr>
          <w:spacing w:val="-3"/>
        </w:rPr>
        <w:t xml:space="preserve"> </w:t>
      </w:r>
      <w:r>
        <w:t>tenderer shall</w:t>
      </w:r>
      <w:r>
        <w:rPr>
          <w:spacing w:val="-1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ELIDZ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difference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tender</w:t>
      </w:r>
      <w:r>
        <w:rPr>
          <w:spacing w:val="-52"/>
        </w:rPr>
        <w:t xml:space="preserve"> </w:t>
      </w:r>
      <w:r>
        <w:t>prices</w:t>
      </w:r>
    </w:p>
    <w:p w14:paraId="494A0584" w14:textId="77777777" w:rsidR="003D01B0" w:rsidRDefault="003D01B0">
      <w:pPr>
        <w:pStyle w:val="BodyText"/>
        <w:spacing w:before="5"/>
        <w:rPr>
          <w:sz w:val="32"/>
        </w:rPr>
      </w:pPr>
    </w:p>
    <w:p w14:paraId="37C26229" w14:textId="77777777" w:rsidR="003D01B0" w:rsidRDefault="00741C20">
      <w:pPr>
        <w:pStyle w:val="BodyText"/>
        <w:ind w:left="991" w:right="333"/>
      </w:pPr>
      <w:r>
        <w:t>We</w:t>
      </w:r>
      <w:r>
        <w:rPr>
          <w:spacing w:val="6"/>
        </w:rPr>
        <w:t xml:space="preserve"> </w:t>
      </w:r>
      <w:r>
        <w:t>trust</w:t>
      </w:r>
      <w:r>
        <w:rPr>
          <w:spacing w:val="8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find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above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orde</w:t>
      </w:r>
      <w:r>
        <w:t>r.</w:t>
      </w:r>
      <w:r>
        <w:rPr>
          <w:spacing w:val="12"/>
        </w:rPr>
        <w:t xml:space="preserve"> </w:t>
      </w:r>
      <w:r>
        <w:t>Should</w:t>
      </w:r>
      <w:r>
        <w:rPr>
          <w:spacing w:val="8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queries</w:t>
      </w:r>
      <w:r>
        <w:rPr>
          <w:spacing w:val="7"/>
        </w:rPr>
        <w:t xml:space="preserve"> </w:t>
      </w:r>
      <w:r>
        <w:t>please</w:t>
      </w:r>
      <w:r>
        <w:rPr>
          <w:spacing w:val="6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hesitate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contact</w:t>
      </w:r>
      <w:r>
        <w:rPr>
          <w:spacing w:val="16"/>
        </w:rPr>
        <w:t xml:space="preserve"> </w:t>
      </w:r>
      <w:r>
        <w:t>Anathi</w:t>
      </w:r>
      <w:r>
        <w:rPr>
          <w:spacing w:val="-52"/>
        </w:rPr>
        <w:t xml:space="preserve"> </w:t>
      </w:r>
      <w:r>
        <w:t>Mzantsi</w:t>
      </w:r>
      <w:r>
        <w:rPr>
          <w:spacing w:val="1"/>
        </w:rPr>
        <w:t xml:space="preserve"> </w:t>
      </w:r>
      <w:r>
        <w:t>on email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hyperlink r:id="rId6">
        <w:r>
          <w:rPr>
            <w:color w:val="0000FF"/>
            <w:u w:val="single" w:color="0000FF"/>
          </w:rPr>
          <w:t>anathi@elidz.co.za</w:t>
        </w:r>
      </w:hyperlink>
    </w:p>
    <w:p w14:paraId="373C8421" w14:textId="77777777" w:rsidR="003D01B0" w:rsidRDefault="003D01B0">
      <w:pPr>
        <w:pStyle w:val="BodyText"/>
        <w:rPr>
          <w:sz w:val="20"/>
        </w:rPr>
      </w:pPr>
    </w:p>
    <w:p w14:paraId="27A5B989" w14:textId="77777777" w:rsidR="003D01B0" w:rsidRDefault="003D01B0">
      <w:pPr>
        <w:pStyle w:val="BodyText"/>
        <w:spacing w:before="11"/>
        <w:rPr>
          <w:sz w:val="15"/>
        </w:rPr>
      </w:pPr>
    </w:p>
    <w:p w14:paraId="1BCB848E" w14:textId="77777777" w:rsidR="003D01B0" w:rsidRDefault="00741C20">
      <w:pPr>
        <w:pStyle w:val="BodyText"/>
        <w:spacing w:before="91"/>
        <w:ind w:left="991"/>
      </w:pPr>
      <w:r>
        <w:t>Yours</w:t>
      </w:r>
      <w:r>
        <w:rPr>
          <w:spacing w:val="-3"/>
        </w:rPr>
        <w:t xml:space="preserve"> </w:t>
      </w:r>
      <w:r>
        <w:t>faithfully</w:t>
      </w:r>
    </w:p>
    <w:p w14:paraId="10F949B6" w14:textId="77777777" w:rsidR="003D01B0" w:rsidRDefault="003D01B0">
      <w:pPr>
        <w:pStyle w:val="BodyText"/>
        <w:spacing w:before="2"/>
        <w:rPr>
          <w:sz w:val="20"/>
        </w:rPr>
      </w:pPr>
    </w:p>
    <w:p w14:paraId="468D8BC8" w14:textId="77777777" w:rsidR="003D01B0" w:rsidRDefault="00741C20">
      <w:pPr>
        <w:pStyle w:val="Heading1"/>
        <w:spacing w:before="1" w:line="252" w:lineRule="exact"/>
        <w:rPr>
          <w:u w:val="none"/>
        </w:rPr>
      </w:pPr>
      <w:r>
        <w:rPr>
          <w:u w:val="none"/>
        </w:rPr>
        <w:t>Anathi</w:t>
      </w:r>
      <w:r>
        <w:rPr>
          <w:spacing w:val="-2"/>
          <w:u w:val="none"/>
        </w:rPr>
        <w:t xml:space="preserve"> </w:t>
      </w:r>
      <w:r>
        <w:rPr>
          <w:u w:val="none"/>
        </w:rPr>
        <w:t>Mzantsi</w:t>
      </w:r>
    </w:p>
    <w:p w14:paraId="3F384821" w14:textId="77777777" w:rsidR="003D01B0" w:rsidRDefault="00741C20">
      <w:pPr>
        <w:spacing w:line="252" w:lineRule="exact"/>
        <w:ind w:left="991"/>
        <w:rPr>
          <w:b/>
          <w:sz w:val="20"/>
        </w:rPr>
      </w:pPr>
      <w:r>
        <w:rPr>
          <w:b/>
        </w:rPr>
        <w:t>Supply</w:t>
      </w:r>
      <w:r>
        <w:rPr>
          <w:b/>
          <w:spacing w:val="-2"/>
        </w:rPr>
        <w:t xml:space="preserve"> </w:t>
      </w:r>
      <w:r>
        <w:rPr>
          <w:b/>
        </w:rPr>
        <w:t>Chain</w:t>
      </w:r>
      <w:r>
        <w:rPr>
          <w:b/>
          <w:spacing w:val="-4"/>
        </w:rPr>
        <w:t xml:space="preserve"> </w:t>
      </w:r>
      <w:r>
        <w:rPr>
          <w:b/>
        </w:rPr>
        <w:t>Officer</w:t>
      </w:r>
      <w:r>
        <w:rPr>
          <w:b/>
          <w:spacing w:val="-1"/>
        </w:rPr>
        <w:t xml:space="preserve"> </w:t>
      </w:r>
      <w:r>
        <w:rPr>
          <w:b/>
          <w:sz w:val="20"/>
        </w:rPr>
        <w:t>– East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London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IDZ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 Ltd</w:t>
      </w:r>
    </w:p>
    <w:p w14:paraId="6D33F6F9" w14:textId="77777777" w:rsidR="003D01B0" w:rsidRDefault="003D01B0">
      <w:pPr>
        <w:pStyle w:val="BodyText"/>
        <w:rPr>
          <w:b/>
        </w:rPr>
      </w:pPr>
    </w:p>
    <w:p w14:paraId="7D969841" w14:textId="77777777" w:rsidR="003D01B0" w:rsidRDefault="00741C20">
      <w:pPr>
        <w:pStyle w:val="BodyText"/>
        <w:ind w:left="991"/>
      </w:pPr>
      <w:r>
        <w:t>Encl.</w:t>
      </w:r>
      <w:r>
        <w:rPr>
          <w:spacing w:val="-3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Bill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Quantities</w:t>
      </w:r>
    </w:p>
    <w:p w14:paraId="155BE1BD" w14:textId="77777777" w:rsidR="003D01B0" w:rsidRDefault="003D01B0">
      <w:pPr>
        <w:pStyle w:val="BodyText"/>
        <w:rPr>
          <w:sz w:val="20"/>
        </w:rPr>
      </w:pPr>
    </w:p>
    <w:p w14:paraId="00EFC756" w14:textId="77777777" w:rsidR="003D01B0" w:rsidRDefault="003D01B0">
      <w:pPr>
        <w:pStyle w:val="BodyText"/>
        <w:rPr>
          <w:sz w:val="20"/>
        </w:rPr>
      </w:pPr>
    </w:p>
    <w:p w14:paraId="09BEE026" w14:textId="77777777" w:rsidR="003D01B0" w:rsidRDefault="003D01B0">
      <w:pPr>
        <w:pStyle w:val="BodyText"/>
        <w:rPr>
          <w:sz w:val="20"/>
        </w:rPr>
      </w:pPr>
    </w:p>
    <w:p w14:paraId="7AA9C43B" w14:textId="77777777" w:rsidR="003D01B0" w:rsidRDefault="003D01B0">
      <w:pPr>
        <w:pStyle w:val="BodyText"/>
        <w:rPr>
          <w:sz w:val="20"/>
        </w:rPr>
      </w:pPr>
    </w:p>
    <w:p w14:paraId="5DD9FA23" w14:textId="77777777" w:rsidR="003D01B0" w:rsidRDefault="003D01B0">
      <w:pPr>
        <w:pStyle w:val="BodyText"/>
        <w:rPr>
          <w:sz w:val="20"/>
        </w:rPr>
      </w:pPr>
    </w:p>
    <w:p w14:paraId="0E5E0C20" w14:textId="77777777" w:rsidR="003D01B0" w:rsidRDefault="003D01B0">
      <w:pPr>
        <w:pStyle w:val="BodyText"/>
        <w:rPr>
          <w:sz w:val="20"/>
        </w:rPr>
      </w:pPr>
    </w:p>
    <w:p w14:paraId="4903E152" w14:textId="77777777" w:rsidR="003D01B0" w:rsidRDefault="003D01B0">
      <w:pPr>
        <w:pStyle w:val="BodyText"/>
        <w:rPr>
          <w:sz w:val="20"/>
        </w:rPr>
      </w:pPr>
    </w:p>
    <w:p w14:paraId="34E7DB62" w14:textId="77777777" w:rsidR="003D01B0" w:rsidRDefault="003D01B0">
      <w:pPr>
        <w:pStyle w:val="BodyText"/>
        <w:rPr>
          <w:sz w:val="20"/>
        </w:rPr>
      </w:pPr>
    </w:p>
    <w:p w14:paraId="3DD81B37" w14:textId="77777777" w:rsidR="003D01B0" w:rsidRDefault="003D01B0">
      <w:pPr>
        <w:pStyle w:val="BodyText"/>
        <w:spacing w:before="10"/>
        <w:rPr>
          <w:sz w:val="18"/>
        </w:rPr>
      </w:pPr>
    </w:p>
    <w:p w14:paraId="2698D3F0" w14:textId="77777777" w:rsidR="003D01B0" w:rsidRDefault="00741C20">
      <w:pPr>
        <w:spacing w:before="97"/>
        <w:ind w:left="3265" w:right="3352"/>
        <w:jc w:val="center"/>
        <w:rPr>
          <w:rFonts w:ascii="Arial MT"/>
          <w:sz w:val="12"/>
        </w:rPr>
      </w:pPr>
      <w:r>
        <w:rPr>
          <w:rFonts w:ascii="Arial MT"/>
          <w:sz w:val="12"/>
        </w:rPr>
        <w:t>Page</w:t>
      </w:r>
      <w:r>
        <w:rPr>
          <w:rFonts w:ascii="Arial MT"/>
          <w:spacing w:val="-1"/>
          <w:sz w:val="12"/>
        </w:rPr>
        <w:t xml:space="preserve"> </w:t>
      </w:r>
      <w:r>
        <w:rPr>
          <w:rFonts w:ascii="Arial MT"/>
          <w:sz w:val="12"/>
        </w:rPr>
        <w:t>1 of 1</w:t>
      </w:r>
    </w:p>
    <w:sectPr w:rsidR="003D01B0">
      <w:type w:val="continuous"/>
      <w:pgSz w:w="11910" w:h="16840"/>
      <w:pgMar w:top="2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C7D50"/>
    <w:multiLevelType w:val="hybridMultilevel"/>
    <w:tmpl w:val="6D1A1EBE"/>
    <w:lvl w:ilvl="0" w:tplc="A70AC10C">
      <w:start w:val="1"/>
      <w:numFmt w:val="decimal"/>
      <w:lvlText w:val="%1."/>
      <w:lvlJc w:val="left"/>
      <w:pPr>
        <w:ind w:left="1711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1BC0342">
      <w:numFmt w:val="bullet"/>
      <w:lvlText w:val="•"/>
      <w:lvlJc w:val="left"/>
      <w:pPr>
        <w:ind w:left="2738" w:hanging="360"/>
      </w:pPr>
      <w:rPr>
        <w:rFonts w:hint="default"/>
        <w:lang w:val="en-US" w:eastAsia="en-US" w:bidi="ar-SA"/>
      </w:rPr>
    </w:lvl>
    <w:lvl w:ilvl="2" w:tplc="60E23696">
      <w:numFmt w:val="bullet"/>
      <w:lvlText w:val="•"/>
      <w:lvlJc w:val="left"/>
      <w:pPr>
        <w:ind w:left="3757" w:hanging="360"/>
      </w:pPr>
      <w:rPr>
        <w:rFonts w:hint="default"/>
        <w:lang w:val="en-US" w:eastAsia="en-US" w:bidi="ar-SA"/>
      </w:rPr>
    </w:lvl>
    <w:lvl w:ilvl="3" w:tplc="6BAE72D2">
      <w:numFmt w:val="bullet"/>
      <w:lvlText w:val="•"/>
      <w:lvlJc w:val="left"/>
      <w:pPr>
        <w:ind w:left="4775" w:hanging="360"/>
      </w:pPr>
      <w:rPr>
        <w:rFonts w:hint="default"/>
        <w:lang w:val="en-US" w:eastAsia="en-US" w:bidi="ar-SA"/>
      </w:rPr>
    </w:lvl>
    <w:lvl w:ilvl="4" w:tplc="5170BE3E">
      <w:numFmt w:val="bullet"/>
      <w:lvlText w:val="•"/>
      <w:lvlJc w:val="left"/>
      <w:pPr>
        <w:ind w:left="5794" w:hanging="360"/>
      </w:pPr>
      <w:rPr>
        <w:rFonts w:hint="default"/>
        <w:lang w:val="en-US" w:eastAsia="en-US" w:bidi="ar-SA"/>
      </w:rPr>
    </w:lvl>
    <w:lvl w:ilvl="5" w:tplc="CCD480E8">
      <w:numFmt w:val="bullet"/>
      <w:lvlText w:val="•"/>
      <w:lvlJc w:val="left"/>
      <w:pPr>
        <w:ind w:left="6813" w:hanging="360"/>
      </w:pPr>
      <w:rPr>
        <w:rFonts w:hint="default"/>
        <w:lang w:val="en-US" w:eastAsia="en-US" w:bidi="ar-SA"/>
      </w:rPr>
    </w:lvl>
    <w:lvl w:ilvl="6" w:tplc="A5A8AF2C">
      <w:numFmt w:val="bullet"/>
      <w:lvlText w:val="•"/>
      <w:lvlJc w:val="left"/>
      <w:pPr>
        <w:ind w:left="7831" w:hanging="360"/>
      </w:pPr>
      <w:rPr>
        <w:rFonts w:hint="default"/>
        <w:lang w:val="en-US" w:eastAsia="en-US" w:bidi="ar-SA"/>
      </w:rPr>
    </w:lvl>
    <w:lvl w:ilvl="7" w:tplc="B970AEAC">
      <w:numFmt w:val="bullet"/>
      <w:lvlText w:val="•"/>
      <w:lvlJc w:val="left"/>
      <w:pPr>
        <w:ind w:left="8850" w:hanging="360"/>
      </w:pPr>
      <w:rPr>
        <w:rFonts w:hint="default"/>
        <w:lang w:val="en-US" w:eastAsia="en-US" w:bidi="ar-SA"/>
      </w:rPr>
    </w:lvl>
    <w:lvl w:ilvl="8" w:tplc="8E108830">
      <w:numFmt w:val="bullet"/>
      <w:lvlText w:val="•"/>
      <w:lvlJc w:val="left"/>
      <w:pPr>
        <w:ind w:left="986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01B0"/>
    <w:rsid w:val="003D01B0"/>
    <w:rsid w:val="0074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33D29"/>
  <w15:docId w15:val="{4CBD7120-566F-475A-9D57-AD09F83E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91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71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thi@elidz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>East London IDZ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Lungi</dc:creator>
  <cp:lastModifiedBy>Thato Sehau</cp:lastModifiedBy>
  <cp:revision>2</cp:revision>
  <dcterms:created xsi:type="dcterms:W3CDTF">2022-06-13T08:51:00Z</dcterms:created>
  <dcterms:modified xsi:type="dcterms:W3CDTF">2022-06-13T08:51:00Z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2022-06-13T00:00:00Z</vt:filetime>
  </property>
</Properties>
</file>